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AE4" w:rsidRDefault="00820AE4" w:rsidP="00820AE4">
      <w:pPr>
        <w:spacing w:before="225" w:after="75"/>
        <w:ind w:left="375"/>
        <w:outlineLvl w:val="3"/>
        <w:rPr>
          <w:rFonts w:cs="Tahoma"/>
          <w:b/>
          <w:bCs/>
          <w:color w:val="990000"/>
          <w:szCs w:val="20"/>
        </w:rPr>
      </w:pPr>
      <w:r>
        <w:rPr>
          <w:rFonts w:cs="Tahoma"/>
          <w:b/>
          <w:bCs/>
          <w:color w:val="990000"/>
          <w:szCs w:val="20"/>
        </w:rPr>
        <w:t>ЛЕКЦИЯ № 8</w:t>
      </w:r>
    </w:p>
    <w:p w:rsidR="00820AE4" w:rsidRPr="002611CB" w:rsidRDefault="00820AE4" w:rsidP="00820AE4">
      <w:pPr>
        <w:spacing w:before="225" w:after="75"/>
        <w:ind w:left="375"/>
        <w:outlineLvl w:val="3"/>
        <w:rPr>
          <w:rFonts w:cs="Tahoma"/>
          <w:b/>
          <w:bCs/>
          <w:color w:val="990000"/>
          <w:szCs w:val="20"/>
        </w:rPr>
      </w:pPr>
      <w:r>
        <w:rPr>
          <w:rFonts w:cs="Tahoma"/>
          <w:b/>
          <w:bCs/>
          <w:color w:val="990000"/>
          <w:szCs w:val="20"/>
        </w:rPr>
        <w:t xml:space="preserve">                                            </w:t>
      </w:r>
      <w:r w:rsidRPr="002611CB">
        <w:rPr>
          <w:rFonts w:cs="Tahoma"/>
          <w:b/>
          <w:bCs/>
          <w:color w:val="990000"/>
          <w:szCs w:val="20"/>
        </w:rPr>
        <w:t xml:space="preserve">   Анализ тепловой нагрузки</w:t>
      </w:r>
    </w:p>
    <w:p w:rsidR="00820AE4" w:rsidRPr="002611CB" w:rsidRDefault="00820AE4" w:rsidP="00820AE4">
      <w:pPr>
        <w:pStyle w:val="a3"/>
        <w:spacing w:before="0" w:beforeAutospacing="0" w:after="0" w:afterAutospacing="0"/>
        <w:ind w:firstLine="375"/>
        <w:jc w:val="both"/>
        <w:rPr>
          <w:rFonts w:cs="Tahoma"/>
        </w:rPr>
      </w:pPr>
      <w:r w:rsidRPr="002611CB">
        <w:rPr>
          <w:rFonts w:cs="Tahoma"/>
        </w:rPr>
        <w:t xml:space="preserve">Традиционные методы оценки тепловой нагрузки дают довольно приблизительную картину, ибо основаны на устаревших либо упрощенных моделях процессов </w:t>
      </w:r>
      <w:proofErr w:type="spellStart"/>
      <w:r w:rsidRPr="002611CB">
        <w:rPr>
          <w:rFonts w:cs="Tahoma"/>
        </w:rPr>
        <w:t>тепломассообмена</w:t>
      </w:r>
      <w:proofErr w:type="spellEnd"/>
      <w:r w:rsidRPr="002611CB">
        <w:rPr>
          <w:rFonts w:cs="Tahoma"/>
        </w:rPr>
        <w:t xml:space="preserve"> и совершенно недостаточны для использования при подготовке экологически безопасного строительного проекта. Для такого проекта, помимо прочего, требуется глубокий анализ взаимосвязи здания, людьми в этом здании и внешней средой. Для оптимизации проекта требуется выполнить детализированное компьютерное моделирование и точно рассчитать основные виды тепловой нагрузки и их взаимодействие. Деление тепловой нагрузки по видам (в частности, энергия, накопленная в конструкциях здания, теплопоступления от источников внутри здания и т. д.) позволяет оценить динамику ее изменения, модели поведения и определить взаимосвязи. Чрезвычайно важно понять, каковы располагаемые источники энергии и как направлены тепловые потоки в здании. В этой связи можно выделить несколько типов диаграмм, помогающих определить ряд важных параметров и сделать выбор в пользу того или иного типа оборудования:</w:t>
      </w:r>
    </w:p>
    <w:p w:rsidR="00820AE4" w:rsidRPr="002611CB" w:rsidRDefault="00820AE4" w:rsidP="00820AE4">
      <w:pPr>
        <w:pStyle w:val="a3"/>
        <w:spacing w:before="0" w:beforeAutospacing="0" w:after="0" w:afterAutospacing="0"/>
        <w:jc w:val="both"/>
        <w:rPr>
          <w:rFonts w:cs="Tahoma"/>
        </w:rPr>
      </w:pPr>
      <w:r w:rsidRPr="002611CB">
        <w:rPr>
          <w:rFonts w:cs="Tahoma"/>
        </w:rPr>
        <w:t>• диаграмма использования энергоресурсов для обеспечения различных служб здания: освещение, кондиционирование воздуха, отопление, вентиляция и т. п.;</w:t>
      </w:r>
    </w:p>
    <w:p w:rsidR="00820AE4" w:rsidRPr="002611CB" w:rsidRDefault="00820AE4" w:rsidP="00820AE4">
      <w:pPr>
        <w:pStyle w:val="a3"/>
        <w:spacing w:before="0" w:beforeAutospacing="0" w:after="0" w:afterAutospacing="0"/>
        <w:jc w:val="both"/>
        <w:rPr>
          <w:rFonts w:cs="Tahoma"/>
        </w:rPr>
      </w:pPr>
      <w:r w:rsidRPr="002611CB">
        <w:rPr>
          <w:rFonts w:cs="Tahoma"/>
        </w:rPr>
        <w:t>• графики тепловой нагрузки и потребности в электричестве в течение дня с указанием пиковых периодов энергопотребления и совпадения по времени различных категорий;</w:t>
      </w:r>
    </w:p>
    <w:p w:rsidR="00820AE4" w:rsidRPr="002611CB" w:rsidRDefault="00820AE4" w:rsidP="00820AE4">
      <w:pPr>
        <w:pStyle w:val="a3"/>
        <w:spacing w:before="0" w:beforeAutospacing="0" w:after="0" w:afterAutospacing="0"/>
        <w:rPr>
          <w:rFonts w:cs="Tahoma"/>
        </w:rPr>
      </w:pPr>
      <w:r w:rsidRPr="002611CB">
        <w:rPr>
          <w:rFonts w:cs="Tahoma"/>
        </w:rPr>
        <w:t>• графики тепловой нагрузки, в течение расчетного периода представляющие динамику различных видов нагрузки, основные количественные показатели, проектные параметры.</w:t>
      </w:r>
    </w:p>
    <w:p w:rsidR="00820AE4" w:rsidRPr="002611CB" w:rsidRDefault="00820AE4" w:rsidP="00820AE4">
      <w:pPr>
        <w:pStyle w:val="a3"/>
        <w:spacing w:before="0" w:beforeAutospacing="0" w:after="0" w:afterAutospacing="0"/>
        <w:ind w:firstLine="708"/>
        <w:jc w:val="both"/>
        <w:rPr>
          <w:rFonts w:cs="Tahoma"/>
        </w:rPr>
      </w:pPr>
      <w:r w:rsidRPr="002611CB">
        <w:rPr>
          <w:rFonts w:cs="Tahoma"/>
        </w:rPr>
        <w:t>Диаграммы распределения энергопотребления по различным пользовательским категориям позволяют установить участки, где потенциал сокращения потребления энергии наибольший. Настолько же полезны и графики тепловой нагрузки для анализа динамики потребления в течение дня и за год. Они позволяют точно проанализировать все факторы, влияющие на окончательный выбор типа используемого инженерного оборудования, а именно:</w:t>
      </w:r>
    </w:p>
    <w:p w:rsidR="00820AE4" w:rsidRPr="002611CB" w:rsidRDefault="00820AE4" w:rsidP="00820AE4">
      <w:pPr>
        <w:pStyle w:val="a3"/>
        <w:spacing w:before="0" w:beforeAutospacing="0" w:after="0" w:afterAutospacing="0"/>
        <w:jc w:val="both"/>
        <w:rPr>
          <w:rFonts w:cs="Tahoma"/>
        </w:rPr>
      </w:pPr>
      <w:r w:rsidRPr="002611CB">
        <w:rPr>
          <w:rFonts w:cs="Tahoma"/>
        </w:rPr>
        <w:t>• пиковые периоды в течение дня и количественные показатели (различаются в зависимости от типа и назначения здания), которые могут подтвердить целесообразность применения, например, накопительной холодильной системы в целях сокращения электрической и холодильной мощности с переносом нагрузки на ночные часы, а в некоторых случаях служить основанием для использования ночного охлаждения здания;</w:t>
      </w:r>
    </w:p>
    <w:p w:rsidR="00820AE4" w:rsidRPr="002611CB" w:rsidRDefault="00820AE4" w:rsidP="00820AE4">
      <w:pPr>
        <w:pStyle w:val="a3"/>
        <w:spacing w:before="0" w:beforeAutospacing="0" w:after="0" w:afterAutospacing="0"/>
        <w:jc w:val="both"/>
        <w:rPr>
          <w:rFonts w:cs="Tahoma"/>
        </w:rPr>
      </w:pPr>
      <w:r w:rsidRPr="002611CB">
        <w:rPr>
          <w:rFonts w:cs="Tahoma"/>
        </w:rPr>
        <w:t>• динамика потребления в течение расчетного периода или в годовом цикле с определением времени, требующегося для выхода на расчетные режимы и, наоборот, для перехода на частичную нагрузку (это особенно важно для выбора холодильной машины, энергетическая эффективность которой должна быть как раз выше именно в периоды частичной нагрузки, которые фактически оказываются наиболее продолжительными);</w:t>
      </w:r>
    </w:p>
    <w:p w:rsidR="00820AE4" w:rsidRPr="002611CB" w:rsidRDefault="00820AE4" w:rsidP="00820AE4">
      <w:pPr>
        <w:pStyle w:val="a3"/>
        <w:spacing w:before="0" w:beforeAutospacing="0" w:after="0" w:afterAutospacing="0"/>
        <w:jc w:val="both"/>
        <w:rPr>
          <w:rFonts w:cs="Tahoma"/>
        </w:rPr>
      </w:pPr>
      <w:r w:rsidRPr="002611CB">
        <w:rPr>
          <w:rFonts w:cs="Tahoma"/>
        </w:rPr>
        <w:t>• динамика использования электрической и тепловой энергии (в свете возможного использования комбинированного производства тепловой и электрической энергии).</w:t>
      </w:r>
    </w:p>
    <w:p w:rsidR="00820AE4" w:rsidRDefault="00820AE4" w:rsidP="00820AE4">
      <w:pPr>
        <w:pStyle w:val="a3"/>
        <w:spacing w:before="0" w:beforeAutospacing="0" w:after="0" w:afterAutospacing="0"/>
        <w:ind w:firstLine="225"/>
        <w:jc w:val="both"/>
      </w:pPr>
      <w:r w:rsidRPr="002611CB">
        <w:t>Важное значение для построения реальных графиков тепловой нагрузки имеет учет теплоустойчивости здания, которая может влиять на динамику тепловой нагрузки и в ряде случаев позволяет снизить потребление энергии.</w:t>
      </w:r>
    </w:p>
    <w:p w:rsidR="00820AE4" w:rsidRPr="002611CB" w:rsidRDefault="00820AE4" w:rsidP="00820AE4">
      <w:pPr>
        <w:pStyle w:val="a3"/>
        <w:spacing w:before="0" w:beforeAutospacing="0" w:after="0" w:afterAutospacing="0"/>
        <w:ind w:firstLine="225"/>
        <w:jc w:val="both"/>
      </w:pPr>
      <w:r>
        <w:t>1.</w:t>
      </w:r>
      <w:r w:rsidRPr="002611CB">
        <w:t xml:space="preserve"> Задача оптимизации формы и размеров здания с учетом теплоэнергетического воздействия наружного климата была впервые решена в нашей стране М. М. </w:t>
      </w:r>
      <w:proofErr w:type="spellStart"/>
      <w:r w:rsidRPr="002611CB">
        <w:t>Бродач</w:t>
      </w:r>
      <w:proofErr w:type="spellEnd"/>
      <w:r w:rsidRPr="002611CB">
        <w:t xml:space="preserve"> и изложена, например, в работах: </w:t>
      </w:r>
      <w:proofErr w:type="spellStart"/>
      <w:r w:rsidRPr="002611CB">
        <w:t>Бродач</w:t>
      </w:r>
      <w:proofErr w:type="spellEnd"/>
      <w:r w:rsidRPr="002611CB">
        <w:t xml:space="preserve"> М. М. Теплоэнергетическая оптимизация ориентации и размеров здания. Научные труды НИИСФ. Тепловой режим и долговечность зданий. – М., 1987; Табунщиков Ю. А., </w:t>
      </w:r>
      <w:proofErr w:type="spellStart"/>
      <w:r w:rsidRPr="002611CB">
        <w:t>Бродач</w:t>
      </w:r>
      <w:proofErr w:type="spellEnd"/>
      <w:r w:rsidRPr="002611CB">
        <w:t xml:space="preserve"> М. М. Математическое моделирование и оптимизация тепловой эффективности зданий. – </w:t>
      </w:r>
      <w:proofErr w:type="gramStart"/>
      <w:r w:rsidRPr="002611CB">
        <w:t>М. :</w:t>
      </w:r>
      <w:proofErr w:type="gramEnd"/>
      <w:r w:rsidRPr="002611CB">
        <w:t xml:space="preserve"> АВОК-ПРЕСС, 2002. – Примеч. ред.</w:t>
      </w:r>
    </w:p>
    <w:p w:rsidR="00820AE4" w:rsidRDefault="00820AE4" w:rsidP="00820AE4">
      <w:pPr>
        <w:pStyle w:val="atclps"/>
        <w:rPr>
          <w:rFonts w:ascii="Times New Roman" w:hAnsi="Times New Roman" w:cs="Tahoma"/>
          <w:sz w:val="24"/>
        </w:rPr>
      </w:pPr>
      <w:r>
        <w:rPr>
          <w:rFonts w:ascii="Times New Roman" w:hAnsi="Times New Roman" w:cs="Tahoma"/>
          <w:sz w:val="24"/>
        </w:rPr>
        <w:t>2.</w:t>
      </w:r>
      <w:r w:rsidRPr="002611CB">
        <w:rPr>
          <w:rFonts w:ascii="Times New Roman" w:hAnsi="Times New Roman" w:cs="Tahoma"/>
          <w:sz w:val="24"/>
        </w:rPr>
        <w:t xml:space="preserve"> Следует отметить, что в настоящее время у специалистов к таким конструкциям сложилось неоднозначное отношение. Наряду с достоинствами, концепция </w:t>
      </w:r>
      <w:r w:rsidRPr="002611CB">
        <w:rPr>
          <w:rFonts w:ascii="Times New Roman" w:hAnsi="Times New Roman" w:cs="Tahoma"/>
          <w:sz w:val="24"/>
        </w:rPr>
        <w:lastRenderedPageBreak/>
        <w:t xml:space="preserve">двухслойного фасада имеет и ряд недостатков. См., например, статьи: Гагарин В. Г. О некоторых теплотехнических ошибках, допускаемых при проектировании вентилируемых фасадов // АВОК. – 2005. –№ 2. Гагарин В. Г. Расчет характеристик теплозащиты фасадов с вентилируемым воздушным зазором // АВОК. – 2004. –№ </w:t>
      </w:r>
      <w:proofErr w:type="gramStart"/>
      <w:r w:rsidRPr="002611CB">
        <w:rPr>
          <w:rFonts w:ascii="Times New Roman" w:hAnsi="Times New Roman" w:cs="Tahoma"/>
          <w:sz w:val="24"/>
        </w:rPr>
        <w:t xml:space="preserve">2,  </w:t>
      </w:r>
      <w:proofErr w:type="spellStart"/>
      <w:r w:rsidRPr="002611CB">
        <w:rPr>
          <w:rFonts w:ascii="Times New Roman" w:hAnsi="Times New Roman" w:cs="Tahoma"/>
          <w:sz w:val="24"/>
        </w:rPr>
        <w:t>Гертис</w:t>
      </w:r>
      <w:proofErr w:type="spellEnd"/>
      <w:proofErr w:type="gramEnd"/>
      <w:r w:rsidRPr="002611CB">
        <w:rPr>
          <w:rFonts w:ascii="Times New Roman" w:hAnsi="Times New Roman" w:cs="Tahoma"/>
          <w:sz w:val="24"/>
        </w:rPr>
        <w:t xml:space="preserve"> К. Имеют ли смысл, с точки зрения строительной физики, новые разработки фасадов? // АВОК. – 2003. – № 7, 8; 2004. –№ 1. – Примеч. ред.</w:t>
      </w:r>
    </w:p>
    <w:p w:rsidR="00820AE4" w:rsidRPr="002611CB" w:rsidRDefault="00820AE4" w:rsidP="00820AE4">
      <w:pPr>
        <w:pStyle w:val="atclps"/>
        <w:rPr>
          <w:rFonts w:ascii="Times New Roman" w:hAnsi="Times New Roman" w:cs="Tahoma"/>
          <w:sz w:val="24"/>
        </w:rPr>
      </w:pPr>
    </w:p>
    <w:p w:rsidR="00820AE4" w:rsidRDefault="00820AE4" w:rsidP="00820AE4">
      <w:pPr>
        <w:pStyle w:val="atclps"/>
        <w:rPr>
          <w:rFonts w:ascii="Times New Roman" w:hAnsi="Times New Roman" w:cs="Tahoma"/>
          <w:sz w:val="24"/>
        </w:rPr>
      </w:pPr>
      <w:r>
        <w:rPr>
          <w:rFonts w:ascii="Times New Roman" w:hAnsi="Times New Roman" w:cs="Tahoma"/>
          <w:sz w:val="24"/>
          <w:szCs w:val="17"/>
          <w:vertAlign w:val="superscript"/>
        </w:rPr>
        <w:t>3</w:t>
      </w:r>
      <w:r w:rsidRPr="002611CB">
        <w:rPr>
          <w:rFonts w:ascii="Times New Roman" w:hAnsi="Times New Roman" w:cs="Tahoma"/>
          <w:sz w:val="24"/>
          <w:szCs w:val="17"/>
          <w:vertAlign w:val="superscript"/>
        </w:rPr>
        <w:t xml:space="preserve"> </w:t>
      </w:r>
      <w:r w:rsidRPr="002611CB">
        <w:rPr>
          <w:rFonts w:ascii="Times New Roman" w:hAnsi="Times New Roman" w:cs="Tahoma"/>
          <w:sz w:val="24"/>
        </w:rPr>
        <w:t xml:space="preserve">Научные основы проектирования </w:t>
      </w:r>
      <w:proofErr w:type="spellStart"/>
      <w:r w:rsidRPr="002611CB">
        <w:rPr>
          <w:rFonts w:ascii="Times New Roman" w:hAnsi="Times New Roman" w:cs="Tahoma"/>
          <w:sz w:val="24"/>
        </w:rPr>
        <w:t>энергоэффективных</w:t>
      </w:r>
      <w:proofErr w:type="spellEnd"/>
      <w:r w:rsidRPr="002611CB">
        <w:rPr>
          <w:rFonts w:ascii="Times New Roman" w:hAnsi="Times New Roman" w:cs="Tahoma"/>
          <w:sz w:val="24"/>
        </w:rPr>
        <w:t xml:space="preserve"> зданий, и, в частности, системный анализ здания как единой энергетической системы были разработаны в нашей стране более 20 лет назад Ю. А. </w:t>
      </w:r>
      <w:proofErr w:type="spellStart"/>
      <w:r w:rsidRPr="002611CB">
        <w:rPr>
          <w:rFonts w:ascii="Times New Roman" w:hAnsi="Times New Roman" w:cs="Tahoma"/>
          <w:sz w:val="24"/>
        </w:rPr>
        <w:t>Табунщиковым</w:t>
      </w:r>
      <w:proofErr w:type="spellEnd"/>
      <w:r w:rsidRPr="002611CB">
        <w:rPr>
          <w:rFonts w:ascii="Times New Roman" w:hAnsi="Times New Roman" w:cs="Tahoma"/>
          <w:sz w:val="24"/>
        </w:rPr>
        <w:t xml:space="preserve"> и опубликованы в работе: Тепловая защита ограждающих конструкций зданий и сооружений. – </w:t>
      </w:r>
      <w:proofErr w:type="gramStart"/>
      <w:r w:rsidRPr="002611CB">
        <w:rPr>
          <w:rFonts w:ascii="Times New Roman" w:hAnsi="Times New Roman" w:cs="Tahoma"/>
          <w:sz w:val="24"/>
        </w:rPr>
        <w:t>М. :</w:t>
      </w:r>
      <w:proofErr w:type="gramEnd"/>
      <w:r w:rsidRPr="002611CB">
        <w:rPr>
          <w:rFonts w:ascii="Times New Roman" w:hAnsi="Times New Roman" w:cs="Tahoma"/>
          <w:sz w:val="24"/>
        </w:rPr>
        <w:t xml:space="preserve"> </w:t>
      </w:r>
      <w:proofErr w:type="spellStart"/>
      <w:r w:rsidRPr="002611CB">
        <w:rPr>
          <w:rFonts w:ascii="Times New Roman" w:hAnsi="Times New Roman" w:cs="Tahoma"/>
          <w:sz w:val="24"/>
        </w:rPr>
        <w:t>Стройиздат</w:t>
      </w:r>
      <w:proofErr w:type="spellEnd"/>
      <w:r w:rsidRPr="002611CB">
        <w:rPr>
          <w:rFonts w:ascii="Times New Roman" w:hAnsi="Times New Roman" w:cs="Tahoma"/>
          <w:sz w:val="24"/>
        </w:rPr>
        <w:t xml:space="preserve">, 1986. Методология проектирования </w:t>
      </w:r>
      <w:proofErr w:type="spellStart"/>
      <w:r w:rsidRPr="002611CB">
        <w:rPr>
          <w:rFonts w:ascii="Times New Roman" w:hAnsi="Times New Roman" w:cs="Tahoma"/>
          <w:sz w:val="24"/>
        </w:rPr>
        <w:t>энергоэффективных</w:t>
      </w:r>
      <w:proofErr w:type="spellEnd"/>
      <w:r w:rsidRPr="002611CB">
        <w:rPr>
          <w:rFonts w:ascii="Times New Roman" w:hAnsi="Times New Roman" w:cs="Tahoma"/>
          <w:sz w:val="24"/>
        </w:rPr>
        <w:t xml:space="preserve"> зданий должна основываться на системном анализе здания как единой энергетической системы, все элементы которой – форма, ориентация, ограждающие конструкции, солнцезащитные устройства, система </w:t>
      </w:r>
      <w:proofErr w:type="spellStart"/>
      <w:r w:rsidRPr="002611CB">
        <w:rPr>
          <w:rFonts w:ascii="Times New Roman" w:hAnsi="Times New Roman" w:cs="Tahoma"/>
          <w:sz w:val="24"/>
        </w:rPr>
        <w:t>климатизации</w:t>
      </w:r>
      <w:proofErr w:type="spellEnd"/>
      <w:r w:rsidRPr="002611CB">
        <w:rPr>
          <w:rFonts w:ascii="Times New Roman" w:hAnsi="Times New Roman" w:cs="Tahoma"/>
          <w:sz w:val="24"/>
        </w:rPr>
        <w:t xml:space="preserve"> и т. д. – энергетически взаимосвязаны между собой. Представление </w:t>
      </w:r>
      <w:proofErr w:type="spellStart"/>
      <w:r w:rsidRPr="002611CB">
        <w:rPr>
          <w:rFonts w:ascii="Times New Roman" w:hAnsi="Times New Roman" w:cs="Tahoma"/>
          <w:sz w:val="24"/>
        </w:rPr>
        <w:t>энергоэффективного</w:t>
      </w:r>
      <w:proofErr w:type="spellEnd"/>
      <w:r w:rsidRPr="002611CB">
        <w:rPr>
          <w:rFonts w:ascii="Times New Roman" w:hAnsi="Times New Roman" w:cs="Tahoma"/>
          <w:sz w:val="24"/>
        </w:rPr>
        <w:t xml:space="preserve"> здания как суммы независимых инновационных решений нарушает принципы системности и приводит к потере энергетической эффективности проекта.</w:t>
      </w:r>
    </w:p>
    <w:p w:rsidR="00820AE4" w:rsidRDefault="00820AE4" w:rsidP="00820AE4">
      <w:pPr>
        <w:pStyle w:val="atclps"/>
        <w:rPr>
          <w:rFonts w:ascii="Times New Roman" w:hAnsi="Times New Roman" w:cs="Tahoma"/>
          <w:sz w:val="24"/>
        </w:rPr>
      </w:pPr>
    </w:p>
    <w:p w:rsidR="00820AE4" w:rsidRPr="002611CB" w:rsidRDefault="00820AE4" w:rsidP="00820AE4">
      <w:pPr>
        <w:pStyle w:val="atclps"/>
        <w:rPr>
          <w:rFonts w:ascii="Times New Roman" w:hAnsi="Times New Roman" w:cs="Tahoma"/>
          <w:sz w:val="24"/>
        </w:rPr>
      </w:pPr>
    </w:p>
    <w:tbl>
      <w:tblPr>
        <w:tblW w:w="8822" w:type="dxa"/>
        <w:jc w:val="center"/>
        <w:tblCellSpacing w:w="15" w:type="dxa"/>
        <w:tblCellMar>
          <w:left w:w="0" w:type="dxa"/>
          <w:right w:w="0" w:type="dxa"/>
        </w:tblCellMar>
        <w:tblLook w:val="0000" w:firstRow="0" w:lastRow="0" w:firstColumn="0" w:lastColumn="0" w:noHBand="0" w:noVBand="0"/>
      </w:tblPr>
      <w:tblGrid>
        <w:gridCol w:w="8822"/>
      </w:tblGrid>
      <w:tr w:rsidR="00820AE4" w:rsidRPr="002611CB" w:rsidTr="00DC0624">
        <w:trPr>
          <w:tblCellSpacing w:w="15" w:type="dxa"/>
          <w:jc w:val="center"/>
        </w:trPr>
        <w:tc>
          <w:tcPr>
            <w:tcW w:w="8762" w:type="dxa"/>
            <w:tcBorders>
              <w:top w:val="single" w:sz="6" w:space="0" w:color="7575AD"/>
              <w:left w:val="single" w:sz="6" w:space="0" w:color="7575AD"/>
              <w:bottom w:val="single" w:sz="6" w:space="0" w:color="7575AD"/>
              <w:right w:val="single" w:sz="6" w:space="0" w:color="7575AD"/>
            </w:tcBorders>
            <w:vAlign w:val="center"/>
          </w:tcPr>
          <w:p w:rsidR="00820AE4" w:rsidRPr="002611CB" w:rsidRDefault="00820AE4" w:rsidP="00DC0624">
            <w:pPr>
              <w:jc w:val="center"/>
              <w:rPr>
                <w:rFonts w:cs="Tahoma"/>
                <w:szCs w:val="17"/>
              </w:rPr>
            </w:pPr>
            <w:r w:rsidRPr="002611CB">
              <w:rPr>
                <w:rFonts w:cs="Tahoma"/>
                <w:szCs w:val="17"/>
              </w:rPr>
              <w:fldChar w:fldCharType="begin"/>
            </w:r>
            <w:r w:rsidRPr="002611CB">
              <w:rPr>
                <w:rFonts w:cs="Tahoma"/>
                <w:szCs w:val="17"/>
              </w:rPr>
              <w:instrText xml:space="preserve"> INCLUDEPICTURE "http://www.abok.ru/for_spec/articles/16/3257/6.jpg" \* MERGEFORMATINET </w:instrText>
            </w:r>
            <w:r w:rsidRPr="002611CB">
              <w:rPr>
                <w:rFonts w:cs="Tahoma"/>
                <w:szCs w:val="17"/>
              </w:rPr>
              <w:fldChar w:fldCharType="separate"/>
            </w:r>
            <w:r w:rsidRPr="002611CB">
              <w:rPr>
                <w:rFonts w:cs="Tahoma"/>
                <w:szCs w:val="1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Абсорбционная холодильная машина на природном газе" style="width:337.5pt;height:246pt">
                  <v:imagedata r:id="rId4" r:href="rId5"/>
                </v:shape>
              </w:pict>
            </w:r>
            <w:r w:rsidRPr="002611CB">
              <w:rPr>
                <w:rFonts w:cs="Tahoma"/>
                <w:szCs w:val="17"/>
              </w:rPr>
              <w:fldChar w:fldCharType="end"/>
            </w:r>
          </w:p>
        </w:tc>
      </w:tr>
      <w:tr w:rsidR="00820AE4" w:rsidRPr="002611CB" w:rsidTr="00DC0624">
        <w:trPr>
          <w:tblCellSpacing w:w="15" w:type="dxa"/>
          <w:jc w:val="center"/>
        </w:trPr>
        <w:tc>
          <w:tcPr>
            <w:tcW w:w="8762" w:type="dxa"/>
            <w:tcBorders>
              <w:top w:val="single" w:sz="6" w:space="0" w:color="7575AD"/>
              <w:bottom w:val="single" w:sz="12" w:space="0" w:color="7575AD"/>
            </w:tcBorders>
            <w:tcMar>
              <w:top w:w="150" w:type="dxa"/>
              <w:left w:w="0" w:type="dxa"/>
              <w:bottom w:w="30" w:type="dxa"/>
              <w:right w:w="0" w:type="dxa"/>
            </w:tcMar>
            <w:vAlign w:val="center"/>
          </w:tcPr>
          <w:p w:rsidR="00820AE4" w:rsidRDefault="00820AE4" w:rsidP="00DC0624">
            <w:pPr>
              <w:ind w:left="75" w:right="75" w:firstLine="150"/>
              <w:rPr>
                <w:rFonts w:cs="Tahoma"/>
                <w:color w:val="616161"/>
                <w:szCs w:val="15"/>
              </w:rPr>
            </w:pPr>
            <w:r>
              <w:rPr>
                <w:rFonts w:cs="Tahoma"/>
                <w:color w:val="616161"/>
                <w:szCs w:val="15"/>
              </w:rPr>
              <w:t xml:space="preserve">                                       </w:t>
            </w:r>
          </w:p>
          <w:p w:rsidR="00820AE4" w:rsidRPr="002611CB" w:rsidRDefault="00820AE4" w:rsidP="00DC0624">
            <w:pPr>
              <w:ind w:left="75" w:right="75" w:firstLine="150"/>
              <w:rPr>
                <w:rFonts w:cs="Tahoma"/>
                <w:color w:val="616161"/>
                <w:szCs w:val="15"/>
              </w:rPr>
            </w:pPr>
            <w:r>
              <w:rPr>
                <w:rFonts w:cs="Tahoma"/>
                <w:color w:val="616161"/>
                <w:szCs w:val="15"/>
              </w:rPr>
              <w:t xml:space="preserve">                                             </w:t>
            </w:r>
            <w:r w:rsidRPr="002611CB">
              <w:rPr>
                <w:rFonts w:cs="Tahoma"/>
                <w:color w:val="616161"/>
                <w:szCs w:val="15"/>
              </w:rPr>
              <w:t>Рисунок 6.</w:t>
            </w:r>
          </w:p>
          <w:p w:rsidR="00820AE4" w:rsidRPr="002611CB" w:rsidRDefault="00820AE4" w:rsidP="00DC0624">
            <w:pPr>
              <w:ind w:left="75" w:right="75" w:firstLine="150"/>
              <w:rPr>
                <w:rFonts w:cs="Tahoma"/>
                <w:color w:val="616161"/>
                <w:szCs w:val="15"/>
              </w:rPr>
            </w:pPr>
            <w:r w:rsidRPr="002611CB">
              <w:rPr>
                <w:rFonts w:cs="Tahoma"/>
                <w:b/>
                <w:bCs/>
                <w:color w:val="616161"/>
                <w:szCs w:val="15"/>
              </w:rPr>
              <w:t>Абсорбционная холодильная машина на природном газе</w:t>
            </w:r>
            <w:r w:rsidRPr="002611CB">
              <w:rPr>
                <w:rFonts w:cs="Tahoma"/>
                <w:color w:val="616161"/>
                <w:szCs w:val="15"/>
              </w:rPr>
              <w:t xml:space="preserve"> (с открытым пламенем) с градирней. Такие машины потребляют минимум электроэнергии и успешно компенсируют пиковые разборы электричества в сети</w:t>
            </w:r>
          </w:p>
        </w:tc>
      </w:tr>
    </w:tbl>
    <w:p w:rsidR="006A4460" w:rsidRDefault="006A4460">
      <w:bookmarkStart w:id="0" w:name="_GoBack"/>
      <w:bookmarkEnd w:id="0"/>
    </w:p>
    <w:sectPr w:rsidR="006A44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0E1"/>
    <w:rsid w:val="006A4460"/>
    <w:rsid w:val="00820AE4"/>
    <w:rsid w:val="00987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832155-7B2B-415D-85A1-C960F2784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0A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20AE4"/>
    <w:pPr>
      <w:spacing w:before="100" w:beforeAutospacing="1" w:after="100" w:afterAutospacing="1"/>
    </w:pPr>
  </w:style>
  <w:style w:type="paragraph" w:customStyle="1" w:styleId="atclps">
    <w:name w:val="atcl_ps"/>
    <w:basedOn w:val="a"/>
    <w:rsid w:val="00820AE4"/>
    <w:pPr>
      <w:pBdr>
        <w:top w:val="dotted" w:sz="6" w:space="8" w:color="000099"/>
        <w:left w:val="dotted" w:sz="6" w:space="8" w:color="000099"/>
        <w:bottom w:val="dotted" w:sz="6" w:space="8" w:color="000099"/>
        <w:right w:val="dotted" w:sz="6" w:space="8" w:color="000099"/>
      </w:pBdr>
      <w:shd w:val="clear" w:color="auto" w:fill="FFFFCC"/>
      <w:spacing w:after="45"/>
      <w:ind w:firstLine="225"/>
    </w:pPr>
    <w:rPr>
      <w:rFonts w:ascii="Verdana" w:hAnsi="Verdana"/>
      <w:b/>
      <w:bCs/>
      <w:color w:val="444499"/>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http://www.abok.ru/for_spec/articles/16/3257/6.jpg"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810</Words>
  <Characters>4623</Characters>
  <Application>Microsoft Office Word</Application>
  <DocSecurity>0</DocSecurity>
  <Lines>38</Lines>
  <Paragraphs>10</Paragraphs>
  <ScaleCrop>false</ScaleCrop>
  <Company>SPecialiST RePack</Company>
  <LinksUpToDate>false</LinksUpToDate>
  <CharactersWithSpaces>5423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2019-02-20T03:17:00Z</dcterms:created>
  <dcterms:modified xsi:type="dcterms:W3CDTF">2019-02-20T03:18:00Z</dcterms:modified>
</cp:coreProperties>
</file>